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969C" w14:textId="77777777" w:rsidR="00276B32" w:rsidRPr="00605163" w:rsidRDefault="00710069" w:rsidP="00605163">
      <w:pPr>
        <w:pStyle w:val="NoSpacing"/>
        <w:jc w:val="center"/>
        <w:rPr>
          <w:b/>
          <w:bCs/>
          <w:sz w:val="32"/>
          <w:szCs w:val="32"/>
        </w:rPr>
      </w:pPr>
      <w:r w:rsidRPr="00605163">
        <w:rPr>
          <w:b/>
          <w:bCs/>
          <w:sz w:val="32"/>
          <w:szCs w:val="32"/>
        </w:rPr>
        <w:t>Proposition 2: Kindergarten Through Grade 12 Schools and Local Community College Public Education Facilities Modernization, Repair, and Safety Bond Act of 2024</w:t>
      </w:r>
    </w:p>
    <w:p w14:paraId="4211815D" w14:textId="77777777" w:rsidR="00276B32" w:rsidRDefault="00276B32" w:rsidP="00605163">
      <w:pPr>
        <w:pStyle w:val="BodyText"/>
        <w:spacing w:line="240" w:lineRule="atLeast"/>
        <w:jc w:val="center"/>
        <w:rPr>
          <w:b/>
          <w:sz w:val="32"/>
        </w:rPr>
      </w:pPr>
    </w:p>
    <w:p w14:paraId="349CAA72" w14:textId="25E01616" w:rsidR="00276B32" w:rsidRPr="005E2EBC" w:rsidRDefault="00710069" w:rsidP="00605163">
      <w:pPr>
        <w:spacing w:line="240" w:lineRule="atLeast"/>
        <w:jc w:val="center"/>
        <w:rPr>
          <w:b/>
          <w:i/>
          <w:iCs/>
          <w:sz w:val="32"/>
        </w:rPr>
      </w:pPr>
      <w:r w:rsidRPr="005E2EBC">
        <w:rPr>
          <w:b/>
          <w:i/>
          <w:iCs/>
          <w:sz w:val="32"/>
        </w:rPr>
        <w:t xml:space="preserve">Sample </w:t>
      </w:r>
      <w:r w:rsidR="005E2EBC" w:rsidRPr="005E2EBC">
        <w:rPr>
          <w:b/>
          <w:i/>
          <w:iCs/>
          <w:sz w:val="32"/>
        </w:rPr>
        <w:t>County Board of Education</w:t>
      </w:r>
      <w:r w:rsidRPr="005E2EBC">
        <w:rPr>
          <w:b/>
          <w:i/>
          <w:iCs/>
          <w:sz w:val="32"/>
        </w:rPr>
        <w:t xml:space="preserve"> Resolution</w:t>
      </w:r>
    </w:p>
    <w:p w14:paraId="7943B333" w14:textId="77777777" w:rsidR="00276B32" w:rsidRPr="00393143" w:rsidRDefault="00276B32" w:rsidP="00605163">
      <w:pPr>
        <w:pStyle w:val="BodyText"/>
        <w:spacing w:line="240" w:lineRule="atLeast"/>
        <w:jc w:val="center"/>
        <w:rPr>
          <w:b/>
          <w:sz w:val="32"/>
          <w:szCs w:val="20"/>
        </w:rPr>
      </w:pPr>
    </w:p>
    <w:p w14:paraId="353E98EC" w14:textId="77777777" w:rsidR="00276B32" w:rsidRDefault="00710069" w:rsidP="00605163">
      <w:pPr>
        <w:pStyle w:val="BodyText"/>
        <w:spacing w:line="240" w:lineRule="atLeast"/>
        <w:jc w:val="both"/>
      </w:pPr>
      <w:r>
        <w:t>WHEREAS, the California Constitution finds public education is a State responsibility in Article IX Section 5; and</w:t>
      </w:r>
    </w:p>
    <w:p w14:paraId="00ED6E8D" w14:textId="77777777" w:rsidR="00E23519" w:rsidRDefault="00E23519" w:rsidP="00605163">
      <w:pPr>
        <w:pStyle w:val="BodyText"/>
        <w:spacing w:line="240" w:lineRule="atLeast"/>
        <w:jc w:val="both"/>
      </w:pPr>
    </w:p>
    <w:p w14:paraId="0FDEE57C" w14:textId="06E5BF04" w:rsidR="00E23519" w:rsidRDefault="00E23519" w:rsidP="00605163">
      <w:pPr>
        <w:pStyle w:val="BodyText"/>
        <w:spacing w:line="240" w:lineRule="atLeast"/>
        <w:jc w:val="both"/>
      </w:pPr>
      <w:r>
        <w:t>WHEREAS, county office</w:t>
      </w:r>
      <w:r w:rsidR="008F5D64">
        <w:t>s</w:t>
      </w:r>
      <w:r>
        <w:t xml:space="preserve"> of education are a critical part of the education infrastructure, serving a diverse population of students that typically require specialized facilities, smaller classes, and additional support services; and</w:t>
      </w:r>
    </w:p>
    <w:p w14:paraId="0A0ABC06" w14:textId="77777777" w:rsidR="00E23519" w:rsidRDefault="00E23519" w:rsidP="00605163">
      <w:pPr>
        <w:pStyle w:val="BodyText"/>
        <w:spacing w:line="240" w:lineRule="atLeast"/>
        <w:jc w:val="both"/>
      </w:pPr>
    </w:p>
    <w:p w14:paraId="04938BE6" w14:textId="36DDC2E3" w:rsidR="00E23519" w:rsidRDefault="00E23519" w:rsidP="00605163">
      <w:pPr>
        <w:pStyle w:val="BodyText"/>
        <w:spacing w:line="240" w:lineRule="atLeast"/>
        <w:jc w:val="both"/>
      </w:pPr>
      <w:r>
        <w:t>WHEREAS, county office</w:t>
      </w:r>
      <w:r w:rsidR="008F5D64">
        <w:t>s</w:t>
      </w:r>
      <w:r>
        <w:t xml:space="preserve"> of education have received over $1 billion in funds since 1998 from the School Facility Program under Division 1, Part 10, Article 12.5 of the Education Code; and </w:t>
      </w:r>
    </w:p>
    <w:p w14:paraId="49BCDCE6" w14:textId="77777777" w:rsidR="00E23519" w:rsidRDefault="00E23519" w:rsidP="00605163">
      <w:pPr>
        <w:pStyle w:val="BodyText"/>
        <w:spacing w:line="240" w:lineRule="atLeast"/>
        <w:jc w:val="both"/>
      </w:pPr>
    </w:p>
    <w:p w14:paraId="701BCC79" w14:textId="77777777" w:rsidR="00E23519" w:rsidRDefault="00E23519" w:rsidP="00605163">
      <w:pPr>
        <w:pStyle w:val="BodyText"/>
        <w:spacing w:line="240" w:lineRule="atLeast"/>
        <w:jc w:val="both"/>
      </w:pPr>
      <w:r>
        <w:t>WHEREAS, the State is out of school facility program funds and cannot provide the State match for almost $3.5 billion in projects which qualify for state aid; and</w:t>
      </w:r>
    </w:p>
    <w:p w14:paraId="01DEB8E7" w14:textId="77777777" w:rsidR="0004568C" w:rsidRDefault="0004568C" w:rsidP="00605163">
      <w:pPr>
        <w:pStyle w:val="BodyText"/>
        <w:tabs>
          <w:tab w:val="left" w:pos="4685"/>
        </w:tabs>
        <w:spacing w:line="240" w:lineRule="atLeast"/>
        <w:jc w:val="both"/>
      </w:pPr>
    </w:p>
    <w:p w14:paraId="0B76BBA9" w14:textId="75804101" w:rsidR="00276B32" w:rsidRDefault="00710069" w:rsidP="00605163">
      <w:pPr>
        <w:pStyle w:val="BodyText"/>
        <w:spacing w:line="240" w:lineRule="atLeast"/>
        <w:jc w:val="both"/>
      </w:pPr>
      <w:r>
        <w:t>WHEREAS, Proposition 2</w:t>
      </w:r>
      <w:r w:rsidR="00E23519">
        <w:t>,</w:t>
      </w:r>
      <w:r>
        <w:t xml:space="preserve"> the </w:t>
      </w:r>
      <w:r>
        <w:rPr>
          <w:i/>
        </w:rPr>
        <w:t xml:space="preserve">Kindergarten Through Grade 12 Schools and Local Community College Public Education Facilities Modernization, </w:t>
      </w:r>
      <w:r>
        <w:rPr>
          <w:i/>
          <w:spacing w:val="-3"/>
        </w:rPr>
        <w:t xml:space="preserve">Repair, </w:t>
      </w:r>
      <w:r>
        <w:rPr>
          <w:i/>
        </w:rPr>
        <w:t>and Safety Bond Act of 2024</w:t>
      </w:r>
      <w:r>
        <w:t xml:space="preserve">, provides for renovation of aging schools, upgrade of existing classrooms, construction of new classrooms to accommodate growth, Career </w:t>
      </w:r>
      <w:r>
        <w:rPr>
          <w:spacing w:val="-4"/>
        </w:rPr>
        <w:t xml:space="preserve">Technical </w:t>
      </w:r>
      <w:r>
        <w:t>Education facilities to provide job training to meet the workforce needs of California employers, testing and remediation of lead levels in water at school sites, disaster assistance, replacement of 75-year-old buildings, adding essential facilities like libraries and multipurpose rooms, mitigating the effects of higher average temperatures, and assistance for small and low-wealth school districts;</w:t>
      </w:r>
      <w:r>
        <w:rPr>
          <w:spacing w:val="-5"/>
        </w:rPr>
        <w:t xml:space="preserve"> </w:t>
      </w:r>
      <w:r>
        <w:t>and</w:t>
      </w:r>
    </w:p>
    <w:p w14:paraId="4454B9CB" w14:textId="77777777" w:rsidR="0004568C" w:rsidRDefault="0004568C" w:rsidP="00605163">
      <w:pPr>
        <w:pStyle w:val="BodyText"/>
        <w:spacing w:line="240" w:lineRule="atLeast"/>
        <w:jc w:val="both"/>
      </w:pPr>
    </w:p>
    <w:p w14:paraId="6509F6FE" w14:textId="4D718803" w:rsidR="00276B32" w:rsidRDefault="00710069" w:rsidP="00605163">
      <w:pPr>
        <w:pStyle w:val="BodyText"/>
        <w:spacing w:line="240" w:lineRule="atLeast"/>
        <w:jc w:val="both"/>
      </w:pPr>
      <w:r>
        <w:t xml:space="preserve">WHEREAS, school districts </w:t>
      </w:r>
      <w:r w:rsidR="00E23519">
        <w:t>and county office</w:t>
      </w:r>
      <w:r w:rsidR="00D3612D">
        <w:t>s</w:t>
      </w:r>
      <w:r w:rsidR="00E23519">
        <w:t xml:space="preserve"> of education </w:t>
      </w:r>
      <w:r>
        <w:t>need state financial support to implement new mandates and initiatives such as universal Transitional Kindergarten, Expanded Learning, on-site cooking and meal preparation, later secondary school start times, and solar power generation and storage; and</w:t>
      </w:r>
    </w:p>
    <w:p w14:paraId="3E3F553E" w14:textId="77777777" w:rsidR="0004568C" w:rsidRDefault="0004568C" w:rsidP="00605163">
      <w:pPr>
        <w:pStyle w:val="BodyText"/>
        <w:spacing w:line="240" w:lineRule="atLeast"/>
        <w:jc w:val="both"/>
      </w:pPr>
    </w:p>
    <w:p w14:paraId="63BAF3FF" w14:textId="56D0A3B6" w:rsidR="00276B32" w:rsidRDefault="00710069" w:rsidP="00605163">
      <w:pPr>
        <w:pStyle w:val="BodyText"/>
        <w:tabs>
          <w:tab w:val="left" w:pos="1663"/>
          <w:tab w:val="left" w:pos="2237"/>
          <w:tab w:val="left" w:pos="3490"/>
          <w:tab w:val="left" w:pos="5307"/>
          <w:tab w:val="left" w:pos="5962"/>
          <w:tab w:val="left" w:pos="6377"/>
          <w:tab w:val="left" w:pos="7378"/>
          <w:tab w:val="left" w:pos="8086"/>
          <w:tab w:val="left" w:pos="8659"/>
        </w:tabs>
        <w:spacing w:line="240" w:lineRule="atLeast"/>
        <w:jc w:val="both"/>
      </w:pPr>
      <w:r>
        <w:t>WHEREAS,</w:t>
      </w:r>
      <w:r w:rsidR="0004568C">
        <w:t xml:space="preserve"> </w:t>
      </w:r>
      <w:r>
        <w:t>the</w:t>
      </w:r>
      <w:r w:rsidR="0004568C">
        <w:t xml:space="preserve"> </w:t>
      </w:r>
      <w:r>
        <w:t>California</w:t>
      </w:r>
      <w:r w:rsidR="0004568C">
        <w:t xml:space="preserve"> </w:t>
      </w:r>
      <w:r>
        <w:t>unemployment</w:t>
      </w:r>
      <w:r w:rsidR="0004568C">
        <w:t xml:space="preserve"> </w:t>
      </w:r>
      <w:r>
        <w:t>rate</w:t>
      </w:r>
      <w:r w:rsidR="0004568C">
        <w:t xml:space="preserve"> </w:t>
      </w:r>
      <w:r>
        <w:t>is</w:t>
      </w:r>
      <w:r w:rsidR="0004568C">
        <w:t xml:space="preserve"> </w:t>
      </w:r>
      <w:r>
        <w:t>greater</w:t>
      </w:r>
      <w:r w:rsidR="0004568C">
        <w:t xml:space="preserve"> </w:t>
      </w:r>
      <w:r>
        <w:t>than</w:t>
      </w:r>
      <w:r w:rsidR="0004568C">
        <w:t xml:space="preserve"> </w:t>
      </w:r>
      <w:r>
        <w:t>the</w:t>
      </w:r>
      <w:r w:rsidR="0004568C">
        <w:t xml:space="preserve"> </w:t>
      </w:r>
      <w:r>
        <w:rPr>
          <w:spacing w:val="-3"/>
        </w:rPr>
        <w:t xml:space="preserve">national </w:t>
      </w:r>
      <w:r>
        <w:t>unemployment rate;</w:t>
      </w:r>
      <w:r>
        <w:rPr>
          <w:spacing w:val="-3"/>
        </w:rPr>
        <w:t xml:space="preserve"> </w:t>
      </w:r>
      <w:r>
        <w:t>and</w:t>
      </w:r>
    </w:p>
    <w:p w14:paraId="162F614B" w14:textId="77777777" w:rsidR="00276B32" w:rsidRDefault="00276B32" w:rsidP="00605163">
      <w:pPr>
        <w:pStyle w:val="BodyText"/>
        <w:spacing w:line="240" w:lineRule="atLeast"/>
        <w:jc w:val="both"/>
      </w:pPr>
    </w:p>
    <w:p w14:paraId="32B4440D" w14:textId="77777777" w:rsidR="00276B32" w:rsidRDefault="00710069" w:rsidP="00605163">
      <w:pPr>
        <w:pStyle w:val="BodyText"/>
        <w:spacing w:line="240" w:lineRule="atLeast"/>
        <w:jc w:val="both"/>
      </w:pPr>
      <w:r>
        <w:t>WHEREAS, 13,000 middle class jobs are created for each $1 billion in school facility infrastructure investment; and</w:t>
      </w:r>
    </w:p>
    <w:p w14:paraId="48A37D57" w14:textId="77777777" w:rsidR="00276B32" w:rsidRDefault="00276B32" w:rsidP="00605163">
      <w:pPr>
        <w:pStyle w:val="BodyText"/>
        <w:spacing w:line="240" w:lineRule="atLeast"/>
        <w:jc w:val="both"/>
      </w:pPr>
    </w:p>
    <w:p w14:paraId="430C4B8C" w14:textId="77777777" w:rsidR="00276B32" w:rsidRDefault="00710069" w:rsidP="00605163">
      <w:pPr>
        <w:pStyle w:val="BodyText"/>
        <w:spacing w:line="240" w:lineRule="atLeast"/>
        <w:jc w:val="both"/>
      </w:pPr>
      <w:r>
        <w:t>WHEREAS, these jobs will be created throughout California and will include almost all building trades; and</w:t>
      </w:r>
    </w:p>
    <w:p w14:paraId="5F941911" w14:textId="77777777" w:rsidR="0004568C" w:rsidRDefault="0004568C" w:rsidP="00605163">
      <w:pPr>
        <w:pStyle w:val="BodyText"/>
        <w:spacing w:line="240" w:lineRule="atLeast"/>
        <w:jc w:val="both"/>
      </w:pPr>
    </w:p>
    <w:p w14:paraId="26ADC5B2" w14:textId="4888F3CC" w:rsidR="00276B32" w:rsidRDefault="00710069" w:rsidP="00605163">
      <w:pPr>
        <w:pStyle w:val="BodyText"/>
        <w:spacing w:line="240" w:lineRule="atLeast"/>
        <w:jc w:val="both"/>
      </w:pPr>
      <w:r>
        <w:t xml:space="preserve">WHEREAS, the Local Control Funding Formula provides funding for </w:t>
      </w:r>
      <w:r w:rsidR="00D3612D">
        <w:t xml:space="preserve">student </w:t>
      </w:r>
      <w:r>
        <w:t>educational services, but does not provide dedicated facilities funding; and</w:t>
      </w:r>
    </w:p>
    <w:p w14:paraId="352794B4" w14:textId="77777777" w:rsidR="00E23519" w:rsidRDefault="00E23519" w:rsidP="00605163">
      <w:pPr>
        <w:pStyle w:val="BodyText"/>
        <w:spacing w:line="240" w:lineRule="atLeast"/>
        <w:jc w:val="both"/>
      </w:pPr>
    </w:p>
    <w:p w14:paraId="5AC4E86B" w14:textId="6A372B43" w:rsidR="00E23519" w:rsidRDefault="00E23519" w:rsidP="00605163">
      <w:pPr>
        <w:pStyle w:val="BodyText"/>
        <w:spacing w:line="240" w:lineRule="atLeast"/>
        <w:jc w:val="both"/>
      </w:pPr>
      <w:r>
        <w:t xml:space="preserve">WHEREAS, all students, including those served by county offices of education, </w:t>
      </w:r>
      <w:r>
        <w:lastRenderedPageBreak/>
        <w:t>deserve access to 21</w:t>
      </w:r>
      <w:r w:rsidRPr="00E23519">
        <w:rPr>
          <w:vertAlign w:val="superscript"/>
        </w:rPr>
        <w:t>st</w:t>
      </w:r>
      <w:r>
        <w:t xml:space="preserve"> Century learning environments designed to enhance academic achievement and further the State’s </w:t>
      </w:r>
      <w:r w:rsidR="00D3612D">
        <w:t>education</w:t>
      </w:r>
      <w:r>
        <w:t xml:space="preserve"> goals; and</w:t>
      </w:r>
    </w:p>
    <w:p w14:paraId="7A2B58C0" w14:textId="77777777" w:rsidR="00E23519" w:rsidRDefault="00E23519" w:rsidP="00605163">
      <w:pPr>
        <w:pStyle w:val="BodyText"/>
        <w:spacing w:line="240" w:lineRule="atLeast"/>
        <w:jc w:val="both"/>
      </w:pPr>
    </w:p>
    <w:p w14:paraId="4159C2DA" w14:textId="6183A93E" w:rsidR="00E23519" w:rsidRDefault="00E23519" w:rsidP="00605163">
      <w:pPr>
        <w:pStyle w:val="BodyText"/>
        <w:spacing w:line="240" w:lineRule="atLeast"/>
        <w:jc w:val="both"/>
      </w:pPr>
      <w:r>
        <w:t>WHEREAS, county office</w:t>
      </w:r>
      <w:r w:rsidR="00D3612D">
        <w:t>s</w:t>
      </w:r>
      <w:r>
        <w:t xml:space="preserve"> of education do not have the authority to issue local bonds and often lack local resources for facilities funding; and</w:t>
      </w:r>
    </w:p>
    <w:p w14:paraId="0AD8434E" w14:textId="77777777" w:rsidR="0004568C" w:rsidRDefault="0004568C" w:rsidP="00605163">
      <w:pPr>
        <w:pStyle w:val="BodyText"/>
        <w:spacing w:line="240" w:lineRule="atLeast"/>
        <w:jc w:val="both"/>
      </w:pPr>
    </w:p>
    <w:p w14:paraId="73860764" w14:textId="77777777" w:rsidR="00276B32" w:rsidRDefault="00710069" w:rsidP="00605163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WHEREAS, Proposition 2, the </w:t>
      </w:r>
      <w:r>
        <w:rPr>
          <w:i/>
          <w:sz w:val="24"/>
        </w:rPr>
        <w:t xml:space="preserve">Kindergarten Through Grade 12 Schools and Local Community College Public Education Facilities Modernization, Repair, and Safety Bond Act of 2024 </w:t>
      </w:r>
      <w:r>
        <w:rPr>
          <w:sz w:val="24"/>
        </w:rPr>
        <w:t>will not raise State taxes; and</w:t>
      </w:r>
    </w:p>
    <w:p w14:paraId="77D67D56" w14:textId="77777777" w:rsidR="00276B32" w:rsidRDefault="00276B32" w:rsidP="00605163">
      <w:pPr>
        <w:pStyle w:val="BodyText"/>
        <w:spacing w:line="240" w:lineRule="atLeast"/>
        <w:jc w:val="both"/>
      </w:pPr>
    </w:p>
    <w:p w14:paraId="7A934FBD" w14:textId="77777777" w:rsidR="00276B32" w:rsidRDefault="00710069" w:rsidP="00605163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WHEREAS, Proposition 2, the </w:t>
      </w:r>
      <w:r>
        <w:rPr>
          <w:i/>
          <w:sz w:val="24"/>
        </w:rPr>
        <w:t xml:space="preserve">Kindergarten Through Grade 12 Schools and Local Community College Public Education Facilities Modernization, Repair, and Safety Bond Act of 2024 </w:t>
      </w:r>
      <w:r>
        <w:rPr>
          <w:sz w:val="24"/>
        </w:rPr>
        <w:t>enhances public accountability and transparency for the use of its proceeds; and</w:t>
      </w:r>
    </w:p>
    <w:p w14:paraId="0066FD7A" w14:textId="77777777" w:rsidR="00276B32" w:rsidRDefault="00276B32" w:rsidP="00605163">
      <w:pPr>
        <w:pStyle w:val="BodyText"/>
        <w:spacing w:line="240" w:lineRule="atLeast"/>
        <w:jc w:val="both"/>
      </w:pPr>
    </w:p>
    <w:p w14:paraId="0A16CF85" w14:textId="3762B4A7" w:rsidR="00276B32" w:rsidRDefault="00710069" w:rsidP="00605163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WHEREAS, </w:t>
      </w:r>
      <w:r w:rsidR="00E23519">
        <w:rPr>
          <w:sz w:val="24"/>
        </w:rPr>
        <w:t xml:space="preserve">State matching funds from </w:t>
      </w:r>
      <w:r>
        <w:rPr>
          <w:sz w:val="24"/>
        </w:rPr>
        <w:t xml:space="preserve">Proposition 2, the </w:t>
      </w:r>
      <w:r>
        <w:rPr>
          <w:i/>
          <w:sz w:val="24"/>
        </w:rPr>
        <w:t>Kindergarten Through Grade 12 Schools and Local Community College Public Education Facilities Modernization, Repair, and Safety Bond Act of 2024</w:t>
      </w:r>
      <w:r w:rsidR="00E23519">
        <w:rPr>
          <w:i/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will reduce the need for additional local property taxes for school facilities.</w:t>
      </w:r>
    </w:p>
    <w:p w14:paraId="2823DC83" w14:textId="77777777" w:rsidR="00276B32" w:rsidRPr="00393143" w:rsidRDefault="00276B32" w:rsidP="00605163">
      <w:pPr>
        <w:pStyle w:val="BodyText"/>
        <w:spacing w:line="240" w:lineRule="atLeast"/>
        <w:jc w:val="both"/>
        <w:rPr>
          <w:szCs w:val="40"/>
        </w:rPr>
      </w:pPr>
    </w:p>
    <w:p w14:paraId="6901A531" w14:textId="1E61271E" w:rsidR="00276B32" w:rsidRDefault="00710069" w:rsidP="00605163">
      <w:pPr>
        <w:pStyle w:val="BodyText"/>
        <w:tabs>
          <w:tab w:val="left" w:pos="8616"/>
        </w:tabs>
        <w:spacing w:line="240" w:lineRule="atLeast"/>
        <w:jc w:val="both"/>
      </w:pPr>
      <w:r>
        <w:rPr>
          <w:spacing w:val="-3"/>
        </w:rPr>
        <w:t>NOW</w:t>
      </w:r>
      <w:r w:rsidR="00CB553D">
        <w:rPr>
          <w:spacing w:val="-3"/>
        </w:rPr>
        <w:t>, THEREFORE</w:t>
      </w:r>
      <w:r>
        <w:t xml:space="preserve"> BE IT </w:t>
      </w:r>
      <w:r>
        <w:rPr>
          <w:spacing w:val="-3"/>
        </w:rPr>
        <w:t xml:space="preserve">RESOLVED, </w:t>
      </w:r>
      <w:r>
        <w:t>that the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23519">
        <w:t>County Board of Education</w:t>
      </w:r>
      <w:r>
        <w:t xml:space="preserve"> supports Proposition 2, the </w:t>
      </w:r>
      <w:r>
        <w:rPr>
          <w:i/>
        </w:rPr>
        <w:t>Kindergarten Through Grade 12 Schools and Local Community College Public Education Facilities Modernization, Repair, and Safety Bond Act of 2024</w:t>
      </w:r>
      <w:r>
        <w:t>.</w:t>
      </w:r>
    </w:p>
    <w:p w14:paraId="7F2B3A34" w14:textId="77777777" w:rsidR="00276B32" w:rsidRPr="00393143" w:rsidRDefault="00276B32" w:rsidP="00605163">
      <w:pPr>
        <w:pStyle w:val="BodyText"/>
        <w:spacing w:line="240" w:lineRule="atLeast"/>
        <w:jc w:val="both"/>
      </w:pPr>
    </w:p>
    <w:p w14:paraId="3864DD8B" w14:textId="77777777" w:rsidR="00276B32" w:rsidRPr="00393143" w:rsidRDefault="00276B32" w:rsidP="00605163">
      <w:pPr>
        <w:pStyle w:val="BodyText"/>
        <w:spacing w:line="240" w:lineRule="atLeast"/>
        <w:jc w:val="both"/>
      </w:pPr>
    </w:p>
    <w:p w14:paraId="1093F2B1" w14:textId="6A6C1CDD" w:rsidR="00276B32" w:rsidRDefault="00710069" w:rsidP="00605163">
      <w:pPr>
        <w:pStyle w:val="BodyText"/>
        <w:tabs>
          <w:tab w:val="left" w:pos="4654"/>
        </w:tabs>
        <w:spacing w:line="240" w:lineRule="atLeast"/>
        <w:jc w:val="both"/>
      </w:pPr>
      <w:r>
        <w:t>Date</w:t>
      </w:r>
      <w:r>
        <w:rPr>
          <w:spacing w:val="-6"/>
        </w:rPr>
        <w:t xml:space="preserve"> </w:t>
      </w:r>
      <w:r>
        <w:t>approved: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D237EF" w14:textId="77777777" w:rsidR="00276B32" w:rsidRDefault="00276B32" w:rsidP="00605163">
      <w:pPr>
        <w:pStyle w:val="BodyText"/>
        <w:spacing w:line="240" w:lineRule="atLeast"/>
        <w:jc w:val="both"/>
        <w:rPr>
          <w:szCs w:val="40"/>
        </w:rPr>
      </w:pPr>
    </w:p>
    <w:p w14:paraId="3BC27A8A" w14:textId="77777777" w:rsidR="00393143" w:rsidRPr="00393143" w:rsidRDefault="00393143" w:rsidP="00605163">
      <w:pPr>
        <w:pStyle w:val="BodyText"/>
        <w:spacing w:line="240" w:lineRule="atLeast"/>
        <w:jc w:val="both"/>
        <w:rPr>
          <w:szCs w:val="40"/>
        </w:rPr>
      </w:pPr>
    </w:p>
    <w:p w14:paraId="19B8982E" w14:textId="77777777" w:rsidR="00276B32" w:rsidRDefault="00710069" w:rsidP="00605163">
      <w:pPr>
        <w:pStyle w:val="BodyText"/>
        <w:spacing w:line="240" w:lineRule="atLeast"/>
        <w:jc w:val="both"/>
      </w:pPr>
      <w:r>
        <w:t>SIGNED:</w:t>
      </w:r>
    </w:p>
    <w:p w14:paraId="3C70AD08" w14:textId="77777777" w:rsidR="00276B32" w:rsidRPr="00605163" w:rsidRDefault="00276B32" w:rsidP="00605163">
      <w:pPr>
        <w:pStyle w:val="BodyText"/>
        <w:spacing w:line="240" w:lineRule="atLeast"/>
        <w:jc w:val="both"/>
      </w:pPr>
    </w:p>
    <w:p w14:paraId="49AAE36C" w14:textId="2DF9A00D" w:rsidR="00276B32" w:rsidRPr="00605163" w:rsidRDefault="0004568C" w:rsidP="00605163">
      <w:pPr>
        <w:pStyle w:val="BodyText"/>
        <w:spacing w:line="240" w:lineRule="atLeast"/>
        <w:jc w:val="both"/>
      </w:pPr>
      <w:r w:rsidRPr="0060516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BAD0BA" wp14:editId="6DFA14B7">
                <wp:simplePos x="0" y="0"/>
                <wp:positionH relativeFrom="page">
                  <wp:posOffset>895985</wp:posOffset>
                </wp:positionH>
                <wp:positionV relativeFrom="paragraph">
                  <wp:posOffset>250825</wp:posOffset>
                </wp:positionV>
                <wp:extent cx="5980430" cy="1270"/>
                <wp:effectExtent l="0" t="0" r="0" b="0"/>
                <wp:wrapTopAndBottom/>
                <wp:docPr id="153104588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A4D1" id="Freeform 3" o:spid="_x0000_s1026" style="position:absolute;margin-left:70.55pt;margin-top:19.75pt;width:470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" path="m,l9418,e" filled="f" strokeweight="1.44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3BE38611" w14:textId="77777777" w:rsidR="00276B32" w:rsidRDefault="00710069" w:rsidP="00605163">
      <w:pPr>
        <w:pStyle w:val="BodyText"/>
        <w:spacing w:line="240" w:lineRule="atLeast"/>
        <w:jc w:val="both"/>
      </w:pPr>
      <w:r>
        <w:t>Board President</w:t>
      </w:r>
    </w:p>
    <w:p w14:paraId="229B203B" w14:textId="77777777" w:rsidR="00276B32" w:rsidRPr="00605163" w:rsidRDefault="00276B32" w:rsidP="00605163">
      <w:pPr>
        <w:pStyle w:val="BodyText"/>
        <w:spacing w:line="240" w:lineRule="atLeast"/>
        <w:jc w:val="both"/>
        <w:rPr>
          <w:szCs w:val="32"/>
        </w:rPr>
      </w:pPr>
    </w:p>
    <w:p w14:paraId="34303A0C" w14:textId="607B3120" w:rsidR="00276B32" w:rsidRPr="00605163" w:rsidRDefault="0004568C" w:rsidP="00605163">
      <w:pPr>
        <w:pStyle w:val="BodyText"/>
        <w:spacing w:line="240" w:lineRule="atLeast"/>
        <w:jc w:val="both"/>
      </w:pPr>
      <w:r w:rsidRPr="0060516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E6631C" wp14:editId="68BAC743">
                <wp:simplePos x="0" y="0"/>
                <wp:positionH relativeFrom="page">
                  <wp:posOffset>895985</wp:posOffset>
                </wp:positionH>
                <wp:positionV relativeFrom="paragraph">
                  <wp:posOffset>233045</wp:posOffset>
                </wp:positionV>
                <wp:extent cx="5980430" cy="1270"/>
                <wp:effectExtent l="0" t="0" r="0" b="0"/>
                <wp:wrapTopAndBottom/>
                <wp:docPr id="17023668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28EE" id="Freeform 2" o:spid="_x0000_s1026" style="position:absolute;margin-left:70.55pt;margin-top:18.35pt;width:47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" path="m,l9418,e" filled="f" strokeweight="1.44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392FA431" w14:textId="77777777" w:rsidR="00276B32" w:rsidRDefault="00710069" w:rsidP="00605163">
      <w:pPr>
        <w:pStyle w:val="BodyText"/>
        <w:spacing w:line="240" w:lineRule="atLeast"/>
        <w:jc w:val="both"/>
      </w:pPr>
      <w:r>
        <w:t>Secretary to the Board of Education</w:t>
      </w:r>
    </w:p>
    <w:sectPr w:rsidR="00276B32" w:rsidSect="00393143">
      <w:footerReference w:type="default" r:id="rId6"/>
      <w:pgSz w:w="12240" w:h="15840"/>
      <w:pgMar w:top="900" w:right="1300" w:bottom="940" w:left="130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B915" w14:textId="77777777" w:rsidR="007A16E3" w:rsidRDefault="007A16E3">
      <w:r>
        <w:separator/>
      </w:r>
    </w:p>
  </w:endnote>
  <w:endnote w:type="continuationSeparator" w:id="0">
    <w:p w14:paraId="6A051E03" w14:textId="77777777" w:rsidR="007A16E3" w:rsidRDefault="007A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08D8" w14:textId="6B908DAF" w:rsidR="00276B32" w:rsidRPr="00393143" w:rsidRDefault="00393143" w:rsidP="00393143">
    <w:pPr>
      <w:pStyle w:val="Footer"/>
      <w:jc w:val="right"/>
      <w:rPr>
        <w:i/>
        <w:iCs/>
        <w:sz w:val="20"/>
        <w:szCs w:val="20"/>
      </w:rPr>
    </w:pPr>
    <w:r w:rsidRPr="00393143">
      <w:rPr>
        <w:i/>
        <w:iCs/>
        <w:sz w:val="20"/>
        <w:szCs w:val="20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ED3BA" w14:textId="77777777" w:rsidR="007A16E3" w:rsidRDefault="007A16E3">
      <w:r>
        <w:separator/>
      </w:r>
    </w:p>
  </w:footnote>
  <w:footnote w:type="continuationSeparator" w:id="0">
    <w:p w14:paraId="1B6635D6" w14:textId="77777777" w:rsidR="007A16E3" w:rsidRDefault="007A1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2"/>
    <w:rsid w:val="0002174C"/>
    <w:rsid w:val="0004568C"/>
    <w:rsid w:val="00172B8C"/>
    <w:rsid w:val="00183A43"/>
    <w:rsid w:val="001E6C3A"/>
    <w:rsid w:val="00276B32"/>
    <w:rsid w:val="00295415"/>
    <w:rsid w:val="00391F07"/>
    <w:rsid w:val="00393143"/>
    <w:rsid w:val="004720A7"/>
    <w:rsid w:val="004816F6"/>
    <w:rsid w:val="00591B31"/>
    <w:rsid w:val="005E2EBC"/>
    <w:rsid w:val="00605163"/>
    <w:rsid w:val="00710069"/>
    <w:rsid w:val="00737B55"/>
    <w:rsid w:val="007A16E3"/>
    <w:rsid w:val="00884FCF"/>
    <w:rsid w:val="008F5D64"/>
    <w:rsid w:val="009C1D1E"/>
    <w:rsid w:val="009D744D"/>
    <w:rsid w:val="00BB3A42"/>
    <w:rsid w:val="00BF2242"/>
    <w:rsid w:val="00CB553D"/>
    <w:rsid w:val="00CC6FC8"/>
    <w:rsid w:val="00CD5674"/>
    <w:rsid w:val="00D3612D"/>
    <w:rsid w:val="00DB5B06"/>
    <w:rsid w:val="00DC0987"/>
    <w:rsid w:val="00E04526"/>
    <w:rsid w:val="00E23519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8230C"/>
  <w15:docId w15:val="{BAFE5505-3C5B-4532-801D-42220E4E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86" w:right="28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A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A7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60516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Maximum Computer Services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Chaires Espinoza</dc:creator>
  <cp:lastModifiedBy>Jessica Contreras</cp:lastModifiedBy>
  <cp:revision>3</cp:revision>
  <dcterms:created xsi:type="dcterms:W3CDTF">2024-08-07T16:54:00Z</dcterms:created>
  <dcterms:modified xsi:type="dcterms:W3CDTF">2024-08-07T16:54:00Z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2024-07-15T00:00:00Z</vt:filetime>
  </property>
</Properties>
</file>